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F1B4" w14:textId="5057D3DA" w:rsidR="00041397" w:rsidRDefault="008D2D37" w:rsidP="0004139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noProof/>
        </w:rPr>
        <w:drawing>
          <wp:inline distT="0" distB="0" distL="0" distR="0" wp14:anchorId="2E1C32DA" wp14:editId="244A4578">
            <wp:extent cx="1352550" cy="1285875"/>
            <wp:effectExtent l="0" t="0" r="0" b="9525"/>
            <wp:docPr id="651900349" name="Obraz 2" descr="logo k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kr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D7ECE" w14:textId="77777777" w:rsidR="00BD1494" w:rsidRPr="00BD1494" w:rsidRDefault="00BD1494" w:rsidP="00BD149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D149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Od 1 marca 2024 r. emerytury i renty wypłacane przez KRUS zostaną podwyższone</w:t>
      </w:r>
    </w:p>
    <w:p w14:paraId="45F662CD" w14:textId="77777777" w:rsidR="000F50EB" w:rsidRPr="000F50EB" w:rsidRDefault="000F50EB" w:rsidP="000F50E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183934A2" w14:textId="2B1DB7AD" w:rsidR="00BD1494" w:rsidRPr="00BD1494" w:rsidRDefault="00BD1494" w:rsidP="00BD1494">
      <w:pPr>
        <w:pStyle w:val="Nagwek2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BD1494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l-PL"/>
        </w:rPr>
        <w:t>Kasa Rolniczego Ubezpieczenia Społecznego informuje, że waloryzacja emerytur i rent rolniczych w 2024 r. polega na pomnożeniu kwoty emerytury podstawowej, która od 1 marca 2024 r. wynosi 1.602,86 zł, przez wskaźniki wymiaru ustalone indywidualnie dla każdego</w:t>
      </w:r>
      <w:r w:rsidRPr="00BD1494">
        <w:rPr>
          <w:rFonts w:ascii="Arial" w:eastAsia="Times New Roman" w:hAnsi="Arial" w:cs="Arial"/>
          <w:sz w:val="22"/>
          <w:szCs w:val="22"/>
          <w:shd w:val="clear" w:color="auto" w:fill="FFFFFF"/>
          <w:lang w:eastAsia="pl-PL"/>
        </w:rPr>
        <w:t xml:space="preserve"> </w:t>
      </w:r>
      <w:r w:rsidRPr="00BD1494">
        <w:rPr>
          <w:rFonts w:ascii="Arial" w:eastAsia="Times New Roman" w:hAnsi="Arial" w:cs="Arial"/>
          <w:color w:val="auto"/>
          <w:sz w:val="22"/>
          <w:szCs w:val="22"/>
          <w:shd w:val="clear" w:color="auto" w:fill="FFFFFF"/>
          <w:lang w:eastAsia="pl-PL"/>
        </w:rPr>
        <w:t xml:space="preserve">świadczenia </w:t>
      </w:r>
      <w:r w:rsidRPr="00BD1494">
        <w:rPr>
          <w:rFonts w:ascii="Arial" w:eastAsia="Times New Roman" w:hAnsi="Arial" w:cs="Arial"/>
          <w:b/>
          <w:bCs/>
          <w:color w:val="auto"/>
          <w:sz w:val="22"/>
          <w:szCs w:val="22"/>
          <w:shd w:val="clear" w:color="auto" w:fill="FFFFFF"/>
          <w:lang w:eastAsia="pl-PL"/>
        </w:rPr>
        <w:t>(dla części składkowej i dla części uzupełniającej).</w:t>
      </w:r>
    </w:p>
    <w:p w14:paraId="65A4DC61" w14:textId="77777777" w:rsidR="00BD1494" w:rsidRPr="00BD1494" w:rsidRDefault="00BD1494" w:rsidP="00BD14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W taki sposób od 1 marca 2024 r. zostaną podwyższone (zwaloryzowane) wszystkie emerytury i renty rolnicze wypłacane na dzień 29 lutego 2024 r. </w:t>
      </w:r>
    </w:p>
    <w:p w14:paraId="00A7518E" w14:textId="77777777" w:rsidR="00BD1494" w:rsidRPr="00BD1494" w:rsidRDefault="00BD1494" w:rsidP="00BD14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Jeżeli świadczenie ustalone w sposób określony powyżej, będzie niższe od kwoty najniższej emerytury pracowniczej (od 1 marca 2024 r. </w:t>
      </w:r>
      <w:r w:rsidRPr="00BD149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1.780,96 zł</w:t>
      </w:r>
      <w:r w:rsidRPr="00BD1494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) – zostanie z urzędu podwyższone do kwoty </w:t>
      </w:r>
      <w:r w:rsidRPr="00BD149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1.780,96 zł</w:t>
      </w:r>
      <w:r w:rsidRPr="00BD1494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.</w:t>
      </w:r>
    </w:p>
    <w:p w14:paraId="2DF05FAC" w14:textId="77777777" w:rsidR="00BD1494" w:rsidRPr="00BD1494" w:rsidRDefault="00BD1494" w:rsidP="00BD1494">
      <w:pPr>
        <w:spacing w:before="100" w:beforeAutospacing="1" w:after="100" w:afterAutospacing="1" w:line="360" w:lineRule="auto"/>
        <w:ind w:right="-285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 kwoty 1.780,96 zł nie zostaną podwyższone:</w:t>
      </w:r>
    </w:p>
    <w:p w14:paraId="79930DF8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a) świadczenia, których wypłata została zawieszona stosownie do art. 28 lub 34 ustawy o ubezpieczeniu społecznym rolników, tj. w związku z prowadzeniem działalności rolniczej lub  osiąganiem dodatkowych przychodów np. z tytułu zatrudnienia,</w:t>
      </w:r>
    </w:p>
    <w:p w14:paraId="198BC930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b) emerytury i renty z ubezpieczenia pobierane w zbiegu z emeryturą lub rentą z innego ubezpieczenia społecznego, jeżeli suma tych świadczeń przekracza kwotę najniższej emerytury pracowniczej (dotyczy również pobierania jednocześnie emerytur z ZUS i KRUS), z wyjątkiem renty rodzinnej wypłacanej w zbiegu z rentą socjalną,</w:t>
      </w:r>
    </w:p>
    <w:p w14:paraId="22B1E977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c) emerytury i renty wypłacane w wysokości pro-rata.</w:t>
      </w:r>
    </w:p>
    <w:p w14:paraId="1E564875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Od 1 marca 2024 r. wzrasta również:</w:t>
      </w:r>
    </w:p>
    <w:p w14:paraId="6F267C41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– rodzicielskie świadczenie uzupełniające do kwoty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1.780,96 zł ,</w:t>
      </w:r>
    </w:p>
    <w:p w14:paraId="3279BBF4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 xml:space="preserve">– świadczenie pieniężne z tytułu pełnienia funkcji sołtysa do kwoty 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336,36 zł. </w:t>
      </w:r>
    </w:p>
    <w:p w14:paraId="032C60AD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lastRenderedPageBreak/>
        <w:t>Ponadto ponownemu obliczeniu z urzędu ulegają:</w:t>
      </w:r>
    </w:p>
    <w:p w14:paraId="588588F0" w14:textId="77777777" w:rsidR="00BD1494" w:rsidRPr="00BD1494" w:rsidRDefault="00BD1494" w:rsidP="009A104C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świadczenia uzupełniające dla osób niezdolnych do samodzielnej egzystencji. Łączna kwota świadczeń pieniężnych finansowanych ze środków publicznych wraz z kwotą wypłacaną przez zagraniczne instytucje właściwe do spraw emerytalno-rentowych wraz ze  świadczeniem uzupełniającym nie może przekroczyć kwoty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2.419,33 zł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 xml:space="preserve"> miesięcznie. </w:t>
      </w:r>
    </w:p>
    <w:p w14:paraId="15E352F5" w14:textId="77777777" w:rsidR="00BD1494" w:rsidRPr="00BD1494" w:rsidRDefault="00BD1494" w:rsidP="009A104C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świadczenia wyrównawcze dla działaczy opozycji antykomunistycznej i osób represjonowanych z powodów politycznych. Łączna kwota emerytury/renty rolniczej (z  uwzględnieniem nowej kwoty dodatku równego różnicy między kwotą świadczeń przyznanych przez państwa członkowskie UE/EFTA, a najniższą emeryturą w Polsce) oraz świadczeń przyznanych przez zagraniczne instytucje właściwe do spraw emerytalno-rentowych wraz ze świadczeniem wyrównawczym nie może przekroczyć kwoty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3.415,50  zł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 miesięcznie.</w:t>
      </w:r>
    </w:p>
    <w:p w14:paraId="4CF23D78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Od 1 marca 2024 r. wzrastają również kwoty dodatków/świadczeń przysługujących do emerytur oraz rent i wyniosą:</w:t>
      </w:r>
    </w:p>
    <w:p w14:paraId="042D14D7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dodatek pielęgnacyjny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330 zł 07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50853354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dodatek dla inwalidy wojennego uznanego za całkowicie niezdolnego do pracy i  do  samodzielnej  egzystencji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495 zł 11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210EF256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dodatek kombatancki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330 zł 07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55739865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dodatek za tajne nauczanie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330 zł 07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4EAA3BA6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ryczałt energetyczny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299 zł 82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73BF2ACA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dodatek kompensacyjny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49 zł 51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07D97F46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dodatek dla sieroty zupełnej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620 zł 36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3DF44585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świadczenie pieniężne przysługujące byłym żołnierzom górnikom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330 zł 07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5F1BD5C8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świadczenie pieniężne przysługujące osobom deportowanym do pracy przymusowej oraz  osadzonym w obozach pracy przez III Rzeszę i ZSRR – max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330 zł 07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,</w:t>
      </w:r>
    </w:p>
    <w:p w14:paraId="49E54B06" w14:textId="77777777" w:rsidR="00BD1494" w:rsidRPr="00BD1494" w:rsidRDefault="00BD1494" w:rsidP="009A104C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dodatek pieniężny dla inwalidy wojennego – </w:t>
      </w: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1.263 zł 73 gr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. </w:t>
      </w:r>
    </w:p>
    <w:p w14:paraId="7C7BF832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WAŻNE:</w:t>
      </w:r>
    </w:p>
    <w:p w14:paraId="3AEDA042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Decyzje o podwyższeniu świadczeń od 1 marca 2024 r. (czyli tzw. waloryzacyjne) zostaną wysłane w kwietniu br. wraz z decyzjami dot. przyznania dodatkowego rocznego świadczenia pieniężnego.</w:t>
      </w:r>
    </w:p>
    <w:p w14:paraId="4929D4D3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 xml:space="preserve">Przewiduje się, że waloryzacją emerytur i rent od 1 marca 2024 r. objętych zostanie około </w:t>
      </w:r>
      <w:r w:rsidR="009A104C">
        <w:rPr>
          <w:rFonts w:ascii="Arial" w:eastAsia="Times New Roman" w:hAnsi="Arial" w:cs="Arial"/>
          <w:shd w:val="clear" w:color="auto" w:fill="FFFFFF"/>
          <w:lang w:eastAsia="pl-PL"/>
        </w:rPr>
        <w:br/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1 mln emerytów i rencistów.</w:t>
      </w:r>
    </w:p>
    <w:p w14:paraId="64D67C1D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shd w:val="clear" w:color="auto" w:fill="FFFFFF"/>
          <w:lang w:eastAsia="pl-PL"/>
        </w:rPr>
        <w:lastRenderedPageBreak/>
        <w:t>Więcej informacji na temat waloryzacji emerytur i rent od 1 marca 2024 r. można uzyskać na stronie internetowej:</w:t>
      </w:r>
      <w:r w:rsidR="009A104C" w:rsidRPr="009A104C">
        <w:t xml:space="preserve"> </w:t>
      </w:r>
      <w:hyperlink r:id="rId6" w:history="1">
        <w:r w:rsidR="009A104C" w:rsidRPr="006F4B24">
          <w:rPr>
            <w:rStyle w:val="Hipercze"/>
            <w:rFonts w:ascii="Arial" w:eastAsia="Times New Roman" w:hAnsi="Arial" w:cs="Arial"/>
            <w:shd w:val="clear" w:color="auto" w:fill="FFFFFF"/>
            <w:lang w:eastAsia="pl-PL"/>
          </w:rPr>
          <w:t>https://www.gov.pl/web/krus/waloryzacja-emerytur-i-rent-rolniczych</w:t>
        </w:r>
      </w:hyperlink>
      <w:r w:rsidR="009A104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BD1494">
        <w:rPr>
          <w:rFonts w:ascii="Arial" w:eastAsia="Times New Roman" w:hAnsi="Arial" w:cs="Arial"/>
          <w:shd w:val="clear" w:color="auto" w:fill="FFFFFF"/>
          <w:lang w:eastAsia="pl-PL"/>
        </w:rPr>
        <w:t>  lub w każdej jednostce organizacyjnej KRUS.</w:t>
      </w:r>
    </w:p>
    <w:p w14:paraId="13646018" w14:textId="77777777" w:rsidR="00BD1494" w:rsidRPr="00BD1494" w:rsidRDefault="00BD1494" w:rsidP="009A104C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D1494">
        <w:rPr>
          <w:rFonts w:ascii="Arial" w:eastAsia="Times New Roman" w:hAnsi="Arial" w:cs="Arial"/>
          <w:b/>
          <w:bCs/>
          <w:lang w:eastAsia="pl-PL"/>
        </w:rPr>
        <w:t>Podstawa prawna</w:t>
      </w:r>
    </w:p>
    <w:p w14:paraId="0CC7405B" w14:textId="77777777" w:rsidR="00BD1494" w:rsidRPr="00BD1494" w:rsidRDefault="00BD1494" w:rsidP="00BD149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BD1494">
        <w:rPr>
          <w:rFonts w:ascii="Arial" w:eastAsia="Times New Roman" w:hAnsi="Arial" w:cs="Arial"/>
          <w:lang w:eastAsia="pl-PL"/>
        </w:rPr>
        <w:t xml:space="preserve">art. 48 ust. 4 i 5 ustawy z dnia 20 grudnia 1990 r. o ubezpieczeniu społecznym rolników (Dz. U. z 2024 r., poz. 90). </w:t>
      </w:r>
    </w:p>
    <w:p w14:paraId="52FC890C" w14:textId="77777777" w:rsidR="000F50EB" w:rsidRPr="000F50EB" w:rsidRDefault="000F50EB" w:rsidP="000F50E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F50EB">
        <w:rPr>
          <w:rFonts w:ascii="Arial" w:eastAsia="Times New Roman" w:hAnsi="Arial" w:cs="Arial"/>
          <w:lang w:eastAsia="pl-PL"/>
        </w:rPr>
        <w:t xml:space="preserve"> </w:t>
      </w:r>
    </w:p>
    <w:p w14:paraId="3D226EB8" w14:textId="77777777" w:rsidR="00407B17" w:rsidRDefault="00391A69" w:rsidP="00261274">
      <w:pPr>
        <w:spacing w:before="100" w:beforeAutospacing="1" w:after="100" w:afterAutospacing="1" w:line="360" w:lineRule="auto"/>
        <w:jc w:val="right"/>
      </w:pPr>
      <w:r w:rsidRPr="00261274">
        <w:rPr>
          <w:rFonts w:ascii="Arial" w:eastAsia="Times New Roman" w:hAnsi="Arial" w:cs="Arial"/>
          <w:lang w:eastAsia="pl-PL"/>
        </w:rPr>
        <w:t xml:space="preserve"> </w:t>
      </w:r>
      <w:r w:rsidR="003B76EB" w:rsidRPr="003B76EB">
        <w:rPr>
          <w:rFonts w:ascii="Arial" w:eastAsia="Times New Roman" w:hAnsi="Arial" w:cs="Arial"/>
          <w:i/>
          <w:lang w:eastAsia="pl-PL"/>
        </w:rPr>
        <w:t>Informacja przekazana za pośrednictwem OR KRUS w Bydgoszczy</w:t>
      </w:r>
    </w:p>
    <w:sectPr w:rsidR="00407B17" w:rsidSect="00D261F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308E2"/>
    <w:multiLevelType w:val="multilevel"/>
    <w:tmpl w:val="F06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D013D"/>
    <w:multiLevelType w:val="multilevel"/>
    <w:tmpl w:val="803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C43CE"/>
    <w:multiLevelType w:val="multilevel"/>
    <w:tmpl w:val="08C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30DF0"/>
    <w:multiLevelType w:val="multilevel"/>
    <w:tmpl w:val="C350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E0010"/>
    <w:multiLevelType w:val="multilevel"/>
    <w:tmpl w:val="2A2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678635">
    <w:abstractNumId w:val="17"/>
  </w:num>
  <w:num w:numId="2" w16cid:durableId="428625933">
    <w:abstractNumId w:val="4"/>
  </w:num>
  <w:num w:numId="3" w16cid:durableId="607126130">
    <w:abstractNumId w:val="12"/>
  </w:num>
  <w:num w:numId="4" w16cid:durableId="745107282">
    <w:abstractNumId w:val="23"/>
  </w:num>
  <w:num w:numId="5" w16cid:durableId="958298614">
    <w:abstractNumId w:val="0"/>
  </w:num>
  <w:num w:numId="6" w16cid:durableId="40448226">
    <w:abstractNumId w:val="14"/>
  </w:num>
  <w:num w:numId="7" w16cid:durableId="1668053575">
    <w:abstractNumId w:val="6"/>
  </w:num>
  <w:num w:numId="8" w16cid:durableId="1248146993">
    <w:abstractNumId w:val="24"/>
  </w:num>
  <w:num w:numId="9" w16cid:durableId="364604221">
    <w:abstractNumId w:val="3"/>
  </w:num>
  <w:num w:numId="10" w16cid:durableId="316080618">
    <w:abstractNumId w:val="20"/>
  </w:num>
  <w:num w:numId="11" w16cid:durableId="1811509368">
    <w:abstractNumId w:val="7"/>
  </w:num>
  <w:num w:numId="12" w16cid:durableId="1371956586">
    <w:abstractNumId w:val="25"/>
  </w:num>
  <w:num w:numId="13" w16cid:durableId="1633439594">
    <w:abstractNumId w:val="15"/>
  </w:num>
  <w:num w:numId="14" w16cid:durableId="1625311677">
    <w:abstractNumId w:val="27"/>
  </w:num>
  <w:num w:numId="15" w16cid:durableId="408233341">
    <w:abstractNumId w:val="22"/>
  </w:num>
  <w:num w:numId="16" w16cid:durableId="321811060">
    <w:abstractNumId w:val="26"/>
  </w:num>
  <w:num w:numId="17" w16cid:durableId="1571113025">
    <w:abstractNumId w:val="28"/>
  </w:num>
  <w:num w:numId="18" w16cid:durableId="2144302747">
    <w:abstractNumId w:val="5"/>
  </w:num>
  <w:num w:numId="19" w16cid:durableId="106969218">
    <w:abstractNumId w:val="1"/>
  </w:num>
  <w:num w:numId="20" w16cid:durableId="84309010">
    <w:abstractNumId w:val="16"/>
  </w:num>
  <w:num w:numId="21" w16cid:durableId="359665525">
    <w:abstractNumId w:val="13"/>
  </w:num>
  <w:num w:numId="22" w16cid:durableId="145631037">
    <w:abstractNumId w:val="21"/>
  </w:num>
  <w:num w:numId="23" w16cid:durableId="382484447">
    <w:abstractNumId w:val="2"/>
  </w:num>
  <w:num w:numId="24" w16cid:durableId="1444423763">
    <w:abstractNumId w:val="18"/>
  </w:num>
  <w:num w:numId="25" w16cid:durableId="2144351071">
    <w:abstractNumId w:val="11"/>
  </w:num>
  <w:num w:numId="26" w16cid:durableId="1140881647">
    <w:abstractNumId w:val="10"/>
  </w:num>
  <w:num w:numId="27" w16cid:durableId="860438675">
    <w:abstractNumId w:val="9"/>
  </w:num>
  <w:num w:numId="28" w16cid:durableId="1186484865">
    <w:abstractNumId w:val="8"/>
  </w:num>
  <w:num w:numId="29" w16cid:durableId="3067396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EB"/>
    <w:rsid w:val="00041397"/>
    <w:rsid w:val="000C289C"/>
    <w:rsid w:val="000C7F17"/>
    <w:rsid w:val="000F50EB"/>
    <w:rsid w:val="001453AB"/>
    <w:rsid w:val="00167BB3"/>
    <w:rsid w:val="00261274"/>
    <w:rsid w:val="003475C5"/>
    <w:rsid w:val="00387FEC"/>
    <w:rsid w:val="00391A69"/>
    <w:rsid w:val="003A7CB8"/>
    <w:rsid w:val="003B71CC"/>
    <w:rsid w:val="003B76EB"/>
    <w:rsid w:val="00407B17"/>
    <w:rsid w:val="0045474B"/>
    <w:rsid w:val="00475006"/>
    <w:rsid w:val="004F7DAB"/>
    <w:rsid w:val="0052519F"/>
    <w:rsid w:val="00543099"/>
    <w:rsid w:val="005C212C"/>
    <w:rsid w:val="005C50BE"/>
    <w:rsid w:val="00671335"/>
    <w:rsid w:val="006C3788"/>
    <w:rsid w:val="006C7F40"/>
    <w:rsid w:val="006D585A"/>
    <w:rsid w:val="0074097A"/>
    <w:rsid w:val="008D2D37"/>
    <w:rsid w:val="00920659"/>
    <w:rsid w:val="009A104C"/>
    <w:rsid w:val="00AE0EA5"/>
    <w:rsid w:val="00BD1494"/>
    <w:rsid w:val="00C366DE"/>
    <w:rsid w:val="00CA14B4"/>
    <w:rsid w:val="00D1359D"/>
    <w:rsid w:val="00D261FF"/>
    <w:rsid w:val="00E13189"/>
    <w:rsid w:val="00E82EAE"/>
    <w:rsid w:val="00EA7C93"/>
    <w:rsid w:val="00F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E2C0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ytu1">
    <w:name w:val="Tytuł1"/>
    <w:basedOn w:val="Normalny"/>
    <w:rsid w:val="000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rus/waloryzacja-emerytur-i-rent-rolniczy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Arkadiusz Kiełpiński</cp:lastModifiedBy>
  <cp:revision>34</cp:revision>
  <dcterms:created xsi:type="dcterms:W3CDTF">2021-10-26T09:42:00Z</dcterms:created>
  <dcterms:modified xsi:type="dcterms:W3CDTF">2024-02-29T06:20:00Z</dcterms:modified>
</cp:coreProperties>
</file>